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40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00"/>
        <w:gridCol w:w="1180"/>
        <w:gridCol w:w="990"/>
        <w:gridCol w:w="1021"/>
        <w:gridCol w:w="1219"/>
        <w:gridCol w:w="1080"/>
        <w:gridCol w:w="1020"/>
        <w:gridCol w:w="1301"/>
        <w:gridCol w:w="153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两江投资集团应聘人员简历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应聘公司：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应聘部门：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应聘岗位：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是否接受调剂：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出生年月及年龄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目前收入（万/年）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婚姻情况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专业技术职称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及职业资格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身高(cm)/体重(kg)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单位及岗位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年限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934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（按学历由高到低填写，大专及以下学历不填写）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全日制教育经历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在职教育经历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（按最近开始填写）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及岗位</w:t>
            </w: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主要职责及业绩简述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奖惩、专利、发表论文情况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34" w:right="1446" w:bottom="85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15FF"/>
    <w:rsid w:val="101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2022-12-19T10:20:50Z</dcterms:created>
  <dc:creator>748</dc:creator>
  <cp:lastModifiedBy>姜雨杉</cp:lastModifiedBy>
  <dcterms:modified xsi:type="dcterms:W3CDTF">2022-12-19T10:33:13Z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0D99144A2743490095DC9F8534475CF7</vt:lpwstr>
  </property>
</Properties>
</file>