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附表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四川师范大学2024年公开选调工作人员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Style w:val="2"/>
        <w:tblpPr w:leftFromText="180" w:rightFromText="180" w:vertAnchor="text" w:horzAnchor="page" w:tblpX="1426" w:tblpY="557"/>
        <w:tblOverlap w:val="never"/>
        <w:tblW w:w="13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03"/>
        <w:gridCol w:w="986"/>
        <w:gridCol w:w="963"/>
        <w:gridCol w:w="632"/>
        <w:gridCol w:w="1421"/>
        <w:gridCol w:w="709"/>
        <w:gridCol w:w="1151"/>
        <w:gridCol w:w="3073"/>
        <w:gridCol w:w="1148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公开选调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单位全称（类别）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类别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编码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名额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对象</w:t>
            </w:r>
          </w:p>
        </w:tc>
        <w:tc>
          <w:tcPr>
            <w:tcW w:w="7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年龄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学历学位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专业条件要求（有*标识的为一级学科及下属所有专业）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其他要求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四川师范大学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计划财务处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专业技术岗位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（八级及以下）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10301001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详见公告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1993年5月29日及以后出生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研究生学历、硕士及以上学位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硕士专业不限，具有普通高等教育本科学历和学位，专业为：会计学、审计学、财务管理。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具有2年及以上财务或审计工作经历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  <w:sz w:val="24"/>
              </w:rPr>
              <w:t>四川师范大学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国际交流合作处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管理岗位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（七级及以下）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1030100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详见公告</w:t>
            </w:r>
          </w:p>
          <w:p>
            <w:pPr>
              <w:pStyle w:val="4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1988年5月29日及以后出生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研究生学历、硕士及以上学位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外国语言文学*，翻译*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1.中共党员（含预备党员）</w:t>
            </w:r>
          </w:p>
          <w:p>
            <w:pPr>
              <w:pStyle w:val="4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2.具有2年及以上从事外事工作经历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DDF0CF6"/>
    <w:rsid w:val="7DD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2024-05-20T09:14:00Z</dcterms:created>
  <dc:creator>Primadonna</dc:creator>
  <cp:lastModifiedBy>Primadonna</cp:lastModifiedBy>
  <dcterms:modified xsi:type="dcterms:W3CDTF">2024-05-20T09:14:20Z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C908A30FC8404D5399D71F13F8E20A91_11</vt:lpwstr>
  </property>
</Properties>
</file>