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u w:val="none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302" w:tblpY="518"/>
        <w:tblOverlap w:val="never"/>
        <w:tblW w:w="14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893"/>
        <w:gridCol w:w="709"/>
        <w:gridCol w:w="668"/>
        <w:gridCol w:w="2455"/>
        <w:gridCol w:w="1090"/>
        <w:gridCol w:w="1473"/>
        <w:gridCol w:w="3355"/>
        <w:gridCol w:w="1582"/>
        <w:gridCol w:w="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62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四川省科学技术厅所属事业单位2024年公开选调工作人员岗位和条件要求一览表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公开选调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单位全称（类别）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岗位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编码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名额</w:t>
            </w:r>
          </w:p>
        </w:tc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选调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对象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专业条件要求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bidi="ar"/>
              </w:rPr>
              <w:t>四川省自然资源科学研究院（公益一类）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科技管理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01301001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年5月29日及以后出生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国民教育本科及以上学历，并取得相应学位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本科：会计学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、财务管理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、财政学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、金融学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财政学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、金融学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、企业管理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、技术经济及管理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科技规划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01301002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年5月29日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国民教育本科及以上学历，并取得相应学位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本科：法学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、知识产权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、国民经济管理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、环境资源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与发展经济学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经济法学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、环境与资源保护法学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、人口资源与环境经济学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、国民经济学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、区域经济学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、产业经济学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、统计学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、数量经济学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川渝地区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各级</w:t>
            </w: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eastAsia="zh-CN"/>
              </w:rPr>
              <w:t>科学技术行政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部门及其所属事业单位工作经历。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bidi="ar"/>
              </w:rPr>
              <w:t>四川省科学技术信息研究所（公益一类）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情报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研究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01302003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年5月29日及以后出生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国民教育硕士研究生及以上学历，并取得相应学位。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研究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生：生物化学与分子生物学专业、生物工程专业、微生物学专业。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川渝地区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各级</w:t>
            </w: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eastAsia="zh-CN"/>
              </w:rPr>
              <w:t>科学技术行政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部门及其所属事业单位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年以上工作经历。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bidi="ar"/>
              </w:rPr>
              <w:t>四川省分析测试服务中心（公益二类）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财务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01303004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年5月29日及以后出生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国民教育本科及以上学历，并取得相应学位。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本科：会计专业、会计学专业、财务管理专业、审计学专业、财政学专业、税务专业。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研究生：会计专业、会计学专业、财务管理专业、财政学专业、金融学专业。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具有中级及以上会计师资格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2.具有3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年以上财务相关工作经历。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党建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01303005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年5月29日及以后出生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国民教育本科及以上学历，并取得相应学位。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本科：汉语言文学专业、汉语言专业、哲学专业、政治学与行政学专业、政治学专业。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研究生：语言学及应用语言学专业、汉语言文字学专业、哲学专业、马克思主义哲学专业、中共党史专业。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中共党员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年以上党建、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人事、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纪检等相关工作经历。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宣传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01303006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年5月29日及以后出生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国民教育本科及以上学历，并取得相应学位。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本科：传播学专业、新闻学专业、科学教育专业。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研究生：新闻传播学专业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仪器科学与技术专业。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年以上科普、媒体、宣传等相关工作经历。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四川省科学技术研究成果档案馆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ar"/>
              </w:rPr>
              <w:t>（公益一类）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财务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01304007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1983年5月29日及以后出生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国民教育本科及以上学历，并取得相应学位。</w:t>
            </w: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本科：会计专业、会计学专业、财政学专业、财务管理专业。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研究生：会计专业、会计学专业、财政学专业、财务管理专业。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  <w:t>具有中级及以上会计师资格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2.当前从事财务工作且有3年以上财务工作经历。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楷体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C2E2A92"/>
    <w:rsid w:val="5C2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autoRedefine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2024-05-21T07:58:00Z</dcterms:created>
  <dc:creator>Primadonna</dc:creator>
  <cp:lastModifiedBy>Primadonna</cp:lastModifiedBy>
  <dcterms:modified xsi:type="dcterms:W3CDTF">2024-05-21T07:58:37Z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209FF6A5B6C246FEB071589FBE6314EB_11</vt:lpwstr>
  </property>
</Properties>
</file>