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40" w:lineRule="exact"/>
        <w:ind w:firstLineChars="100" w:firstLine="440"/>
        <w:jc w:val="center"/>
        <w:rPr>
          <w:rFonts w:ascii="方正小标宋_GBK" w:eastAsia="方正小标宋_GBK" w:cs="仿宋_GB2312" w:hint="eastAsia"/>
          <w:b/>
          <w:bCs/>
          <w:sz w:val="44"/>
          <w:szCs w:val="44"/>
        </w:rPr>
      </w:pPr>
      <w:r>
        <w:rPr>
          <w:rFonts w:ascii="方正小标宋_GBK" w:eastAsia="方正小标宋_GBK" w:cs="仿宋_GB2312" w:hint="eastAsia"/>
          <w:b/>
          <w:bCs/>
          <w:sz w:val="44"/>
          <w:szCs w:val="44"/>
        </w:rPr>
        <w:t>专业目录</w:t>
      </w:r>
    </w:p>
    <w:p>
      <w:pPr>
        <w:spacing w:line="640" w:lineRule="exact"/>
        <w:jc w:val="left"/>
        <w:rPr>
          <w:rFonts w:ascii="仿宋_GB2312" w:eastAsia="方正仿宋_GBK" w:cs="仿宋_GB2312" w:hAnsi="仿宋_GB2312" w:hint="eastAsia"/>
          <w:b/>
          <w:bCs/>
          <w:sz w:val="32"/>
          <w:szCs w:val="32"/>
        </w:rPr>
      </w:pPr>
    </w:p>
    <w:p>
      <w:pPr>
        <w:spacing w:line="640" w:lineRule="exact"/>
        <w:ind w:firstLineChars="200" w:firstLine="640"/>
        <w:rPr>
          <w:rFonts w:ascii="方正黑体_GBK" w:eastAsia="方正黑体_GBK" w:cs="仿宋_GB2312" w:hint="eastAsia"/>
          <w:b/>
          <w:bCs/>
          <w:sz w:val="32"/>
          <w:szCs w:val="32"/>
        </w:rPr>
      </w:pPr>
      <w:r>
        <w:rPr>
          <w:rFonts w:ascii="方正黑体_GBK" w:eastAsia="方正黑体_GBK" w:cs="仿宋_GB2312" w:hint="eastAsia"/>
          <w:b/>
          <w:bCs/>
          <w:sz w:val="32"/>
          <w:szCs w:val="32"/>
        </w:rPr>
        <w:t>一、法学类</w:t>
      </w:r>
    </w:p>
    <w:p>
      <w:pPr>
        <w:spacing w:line="640" w:lineRule="exact"/>
        <w:ind w:firstLineChars="200" w:firstLine="640"/>
        <w:rPr>
          <w:rFonts w:ascii="仿宋_GB2312" w:eastAsia="方正仿宋_GBK" w:cs="仿宋_GB2312" w:hAnsi="仿宋_GB2312" w:hint="eastAsia"/>
          <w:b/>
          <w:bCs/>
          <w:sz w:val="32"/>
          <w:szCs w:val="32"/>
          <w:lang w:eastAsia="zh-CN"/>
        </w:rPr>
      </w:pPr>
      <w:r>
        <w:rPr>
          <w:rFonts w:ascii="仿宋_GB2312" w:eastAsia="方正仿宋_GBK" w:cs="仿宋_GB2312" w:hAnsi="仿宋_GB2312"/>
          <w:b/>
          <w:bCs/>
          <w:sz w:val="32"/>
          <w:szCs w:val="32"/>
        </w:rPr>
        <w:t>法律事务、法律、律师、法学、比较法学、知识产权、知识产权法、知识产权法学、监狱学、电子商务与法律、法学理论、法律史、中国刑法学、经济刑法学、犯罪学、宪法与行政法学、宪法学与行政法学、刑法、刑法学、民法、民法学、刑事诉讼法学、商法、国际商法、民商法、民商法学、诉讼法、诉讼法学、经济法、经济法学、环境与资源保护法、环境与资源保护法学、国际法、刑事司法、刑事司法</w:t>
      </w:r>
      <w:r>
        <w:rPr>
          <w:rFonts w:ascii="仿宋_GB2312" w:eastAsia="方正仿宋_GBK" w:cs="仿宋_GB2312" w:hAnsi="仿宋_GB2312" w:hint="eastAsia"/>
          <w:b/>
          <w:bCs/>
          <w:sz w:val="32"/>
          <w:szCs w:val="32"/>
        </w:rPr>
        <w:t>学、</w:t>
      </w:r>
      <w:r>
        <w:rPr>
          <w:rFonts w:ascii="仿宋_GB2312" w:eastAsia="方正仿宋_GBK" w:cs="仿宋_GB2312" w:hAnsi="仿宋_GB2312"/>
          <w:b/>
          <w:bCs/>
          <w:sz w:val="32"/>
          <w:szCs w:val="32"/>
        </w:rPr>
        <w:t>国际法学、国际经济法、军事法学、比较刑法学、法律硕士、行政法、行政法学、行政诉讼法学、法律逻辑学、民族法学、应用法学、医事法律、医事法学、金融法学、人权法学、财税法学、反恐怖主义法学、劳动法学和社会保障法、证据法学</w:t>
      </w:r>
      <w:r>
        <w:rPr>
          <w:rFonts w:ascii="仿宋_GB2312" w:eastAsia="方正仿宋_GBK" w:cs="仿宋_GB2312" w:hAnsi="仿宋_GB2312" w:hint="eastAsia"/>
          <w:b/>
          <w:bCs/>
          <w:sz w:val="32"/>
          <w:szCs w:val="32"/>
          <w:lang w:eastAsia="zh-CN"/>
        </w:rPr>
        <w:t>、人工智能法学、社会法学、数据法学、数字法学、司法警察学</w:t>
      </w:r>
    </w:p>
    <w:p>
      <w:pPr>
        <w:spacing w:line="640" w:lineRule="exact"/>
        <w:ind w:firstLineChars="200" w:firstLine="640"/>
        <w:rPr>
          <w:rFonts w:ascii="方正黑体_GBK" w:eastAsia="方正黑体_GBK" w:cs="仿宋_GB2312" w:hint="eastAsia"/>
          <w:b/>
          <w:bCs/>
          <w:sz w:val="32"/>
          <w:szCs w:val="32"/>
        </w:rPr>
      </w:pPr>
      <w:r>
        <w:rPr>
          <w:rFonts w:ascii="方正黑体_GBK" w:eastAsia="方正黑体_GBK" w:cs="仿宋_GB2312" w:hint="eastAsia"/>
          <w:b/>
          <w:bCs/>
          <w:sz w:val="32"/>
          <w:szCs w:val="32"/>
        </w:rPr>
        <w:t>二、</w:t>
      </w:r>
      <w:r>
        <w:rPr>
          <w:rFonts w:ascii="方正黑体_GBK" w:eastAsia="方正黑体_GBK" w:cs="仿宋_GB2312" w:hint="eastAsia"/>
          <w:b/>
          <w:bCs/>
          <w:sz w:val="32"/>
          <w:szCs w:val="32"/>
          <w:lang w:eastAsia="zh-CN"/>
        </w:rPr>
        <w:t>公安警察</w:t>
      </w:r>
      <w:r>
        <w:rPr>
          <w:rFonts w:ascii="方正黑体_GBK" w:eastAsia="方正黑体_GBK" w:cs="仿宋_GB2312" w:hint="eastAsia"/>
          <w:b/>
          <w:bCs/>
          <w:sz w:val="32"/>
          <w:szCs w:val="32"/>
        </w:rPr>
        <w:t>类</w:t>
      </w:r>
    </w:p>
    <w:p>
      <w:pPr>
        <w:spacing w:line="640" w:lineRule="exact"/>
        <w:ind w:firstLineChars="200" w:firstLine="640"/>
        <w:rPr>
          <w:rFonts w:ascii="仿宋_GB2312" w:eastAsia="方正仿宋_GBK" w:cs="仿宋_GB2312" w:hAnsi="仿宋_GB2312" w:hint="eastAsia"/>
          <w:b/>
          <w:bCs/>
          <w:sz w:val="32"/>
          <w:szCs w:val="32"/>
          <w:lang w:eastAsia="zh-CN"/>
        </w:rPr>
      </w:pPr>
      <w:r>
        <w:rPr>
          <w:rFonts w:ascii="仿宋_GB2312" w:eastAsia="方正仿宋_GBK" w:cs="仿宋_GB2312" w:hAnsi="仿宋_GB2312"/>
          <w:b/>
          <w:bCs/>
          <w:sz w:val="32"/>
          <w:szCs w:val="32"/>
        </w:rPr>
        <w:t>侦查学、经济犯罪侦查、公安安全保卫、公安文秘、安全保卫、警卫、警卫学、公安、公安学、犯罪社会学、警察心理学、警务战术训练、警察科学、警务、犯罪心理学、治安、治安学、治安管理、交通管理、</w:t>
      </w:r>
      <w:r>
        <w:rPr>
          <w:rFonts w:ascii="仿宋_GB2312" w:eastAsia="方正仿宋_GBK" w:cs="仿宋_GB2312" w:hAnsi="仿宋_GB2312" w:hint="eastAsia"/>
          <w:b/>
          <w:bCs/>
          <w:sz w:val="32"/>
          <w:szCs w:val="32"/>
          <w:lang w:eastAsia="zh-CN"/>
        </w:rPr>
        <w:t>交通管理工程、</w:t>
      </w:r>
      <w:r>
        <w:rPr>
          <w:rFonts w:ascii="仿宋_GB2312" w:eastAsia="方正仿宋_GBK" w:cs="仿宋_GB2312" w:hAnsi="仿宋_GB2312"/>
          <w:b/>
          <w:bCs/>
          <w:sz w:val="32"/>
          <w:szCs w:val="32"/>
        </w:rPr>
        <w:t>警察管理、公共安全管理、信息网络安全监察、</w:t>
      </w:r>
      <w:r>
        <w:rPr>
          <w:rFonts w:ascii="仿宋_GB2312" w:eastAsia="方正仿宋_GBK" w:cs="仿宋_GB2312" w:hAnsi="仿宋_GB2312" w:hint="eastAsia"/>
          <w:b/>
          <w:bCs/>
          <w:i w:val="0"/>
          <w:iCs w:val="0"/>
          <w:caps w:val="0"/>
          <w:smallCaps w:val="0"/>
          <w:spacing w:val="0"/>
          <w:kern w:val="0"/>
          <w:sz w:val="32"/>
          <w:szCs w:val="32"/>
          <w:lang w:val="en-US" w:eastAsia="zh-CN" w:bidi="ar-SA"/>
        </w:rPr>
        <w:t>网络安全与执法、</w:t>
      </w:r>
      <w:r>
        <w:rPr>
          <w:rFonts w:ascii="仿宋_GB2312" w:eastAsia="方正仿宋_GBK" w:cs="仿宋_GB2312" w:hAnsi="仿宋_GB2312"/>
          <w:b/>
          <w:bCs/>
          <w:sz w:val="32"/>
          <w:szCs w:val="32"/>
        </w:rPr>
        <w:t>禁毒、警察指挥与战术、参谋业务、抢险救援、刑事侦查、刑事侦察、技术侦查、公安信息技术、禁毒学、公安情报学、犯罪学、公安管理、公安管理学、涉外警务、国内安全保卫、警务指挥与战术、司法警务、公安技术、刑事科学技术、公安视听技术、文件检验技术、痕迹检验、刑事图像技术、犯罪心理及测试研究、信息安全及计算机犯罪侦查、公安信息系统与指挥决策、法化学、刑事技术、文件鉴定、反恐警务</w:t>
      </w:r>
      <w:r>
        <w:rPr>
          <w:rFonts w:ascii="仿宋_GB2312" w:eastAsia="方正仿宋_GBK" w:cs="仿宋_GB2312" w:hAnsi="仿宋_GB2312" w:hint="eastAsia"/>
          <w:b/>
          <w:bCs/>
          <w:sz w:val="32"/>
          <w:szCs w:val="32"/>
          <w:lang w:eastAsia="zh-CN"/>
        </w:rPr>
        <w:t>、</w:t>
      </w:r>
      <w:r>
        <w:rPr>
          <w:rFonts w:ascii="仿宋_GB2312" w:eastAsia="方正仿宋_GBK" w:cs="仿宋_GB2312" w:hAnsi="仿宋_GB2312"/>
          <w:b/>
          <w:bCs/>
          <w:sz w:val="32"/>
          <w:szCs w:val="32"/>
        </w:rPr>
        <w:t>物证技术学、狱政管理、刑事执行、劳教管理、罪犯教育、罪犯心理矫治、监所管理</w:t>
      </w:r>
      <w:r>
        <w:rPr>
          <w:rFonts w:ascii="仿宋_GB2312" w:eastAsia="方正仿宋_GBK" w:cs="仿宋_GB2312" w:hAnsi="仿宋_GB2312" w:hint="eastAsia"/>
          <w:b/>
          <w:bCs/>
          <w:sz w:val="32"/>
          <w:szCs w:val="32"/>
          <w:lang w:eastAsia="zh-CN"/>
        </w:rPr>
        <w:t>、</w:t>
      </w:r>
      <w:r>
        <w:rPr>
          <w:rFonts w:ascii="仿宋_GB2312" w:eastAsia="方正仿宋_GBK" w:cs="仿宋_GB2312" w:hAnsi="仿宋_GB2312"/>
          <w:b/>
          <w:bCs/>
          <w:sz w:val="32"/>
          <w:szCs w:val="32"/>
        </w:rPr>
        <w:t>司法警察</w:t>
      </w:r>
      <w:r>
        <w:rPr>
          <w:rFonts w:ascii="仿宋_GB2312" w:eastAsia="方正仿宋_GBK" w:cs="仿宋_GB2312" w:hAnsi="仿宋_GB2312" w:hint="eastAsia"/>
          <w:b/>
          <w:bCs/>
          <w:sz w:val="32"/>
          <w:szCs w:val="32"/>
        </w:rPr>
        <w:t>、</w:t>
      </w:r>
      <w:r>
        <w:rPr>
          <w:rFonts w:ascii="仿宋_GB2312" w:eastAsia="方正仿宋_GBK" w:cs="仿宋_GB2312" w:hAnsi="仿宋_GB2312"/>
          <w:b/>
          <w:bCs/>
          <w:sz w:val="32"/>
          <w:szCs w:val="32"/>
        </w:rPr>
        <w:t>刑事侦查技术、罪犯心理测量与矫正技术、行政执行、司法信息安全、司法信息技术、法律文秘</w:t>
      </w:r>
      <w:r>
        <w:rPr>
          <w:rFonts w:ascii="仿宋_GB2312" w:eastAsia="方正仿宋_GBK" w:cs="仿宋_GB2312" w:hAnsi="仿宋_GB2312" w:hint="eastAsia"/>
          <w:b/>
          <w:bCs/>
          <w:sz w:val="32"/>
          <w:szCs w:val="32"/>
          <w:lang w:eastAsia="zh-CN"/>
        </w:rPr>
        <w:t>、国家安全学</w:t>
      </w:r>
    </w:p>
    <w:p>
      <w:pPr>
        <w:spacing w:line="640" w:lineRule="exact"/>
        <w:ind w:firstLineChars="200" w:firstLine="640"/>
        <w:rPr>
          <w:rFonts w:ascii="方正黑体_GBK" w:eastAsia="方正黑体_GBK" w:cs="仿宋_GB2312" w:hint="eastAsia"/>
          <w:b/>
          <w:bCs/>
          <w:sz w:val="32"/>
          <w:szCs w:val="32"/>
        </w:rPr>
      </w:pPr>
      <w:r>
        <w:rPr>
          <w:rFonts w:ascii="方正黑体_GBK" w:eastAsia="方正黑体_GBK" w:cs="仿宋_GB2312" w:hint="eastAsia"/>
          <w:b/>
          <w:bCs/>
          <w:sz w:val="32"/>
          <w:szCs w:val="32"/>
        </w:rPr>
        <w:t>三、新闻传播学类</w:t>
      </w:r>
    </w:p>
    <w:p>
      <w:pPr>
        <w:spacing w:line="640" w:lineRule="exact"/>
        <w:ind w:firstLineChars="200" w:firstLine="640"/>
        <w:rPr>
          <w:rFonts w:ascii="仿宋_GB2312" w:eastAsia="方正仿宋_GBK" w:cs="仿宋_GB2312" w:hAnsi="仿宋_GB2312"/>
          <w:b/>
          <w:bCs/>
          <w:sz w:val="32"/>
          <w:szCs w:val="32"/>
        </w:rPr>
      </w:pPr>
      <w:r>
        <w:rPr>
          <w:rFonts w:ascii="仿宋_GB2312" w:eastAsia="方正仿宋_GBK" w:cs="仿宋_GB2312" w:hAnsi="仿宋_GB2312"/>
          <w:b/>
          <w:bCs/>
          <w:sz w:val="32"/>
          <w:szCs w:val="32"/>
        </w:rPr>
        <w:t>新闻、新闻学、传播学、新闻传播</w:t>
      </w:r>
      <w:r>
        <w:rPr>
          <w:rFonts w:ascii="仿宋_GB2312" w:eastAsia="方正仿宋_GBK" w:cs="仿宋_GB2312" w:hAnsi="仿宋_GB2312" w:hint="eastAsia"/>
          <w:b/>
          <w:bCs/>
          <w:sz w:val="32"/>
          <w:szCs w:val="32"/>
        </w:rPr>
        <w:t>、</w:t>
      </w:r>
      <w:r>
        <w:rPr>
          <w:rFonts w:ascii="仿宋_GB2312" w:eastAsia="方正仿宋_GBK" w:cs="仿宋_GB2312" w:hAnsi="仿宋_GB2312"/>
          <w:b/>
          <w:bCs/>
          <w:sz w:val="32"/>
          <w:szCs w:val="32"/>
        </w:rPr>
        <w:t>新闻传播学、国际新闻、国际新闻学、新闻与传播、国际新闻与传播、出版、出版研究、编辑出版学、媒体与文化分析、影视动画、广播电视学、广播电视新闻学、广告学、媒体创意、网络与新媒体、数字出版、新媒体与信息网络</w:t>
      </w:r>
    </w:p>
    <w:p>
      <w:pPr>
        <w:spacing w:line="640" w:lineRule="exact"/>
        <w:ind w:firstLineChars="200" w:firstLine="640"/>
        <w:rPr>
          <w:rFonts w:ascii="方正黑体_GBK" w:eastAsia="方正黑体_GBK" w:cs="仿宋_GB2312" w:hint="eastAsia"/>
          <w:b/>
          <w:bCs/>
          <w:sz w:val="32"/>
          <w:szCs w:val="32"/>
        </w:rPr>
      </w:pPr>
      <w:r>
        <w:rPr>
          <w:rFonts w:ascii="方正黑体_GBK" w:eastAsia="方正黑体_GBK" w:cs="仿宋_GB2312" w:hint="eastAsia"/>
          <w:b/>
          <w:bCs/>
          <w:sz w:val="32"/>
          <w:szCs w:val="32"/>
        </w:rPr>
        <w:t>四、文史哲类</w:t>
      </w:r>
    </w:p>
    <w:p>
      <w:pPr>
        <w:spacing w:line="640" w:lineRule="exact"/>
        <w:ind w:firstLineChars="200" w:firstLine="640"/>
        <w:rPr>
          <w:rFonts w:ascii="仿宋_GB2312" w:eastAsia="方正仿宋_GBK" w:cs="仿宋_GB2312" w:hAnsi="仿宋_GB2312" w:hint="eastAsia"/>
          <w:b/>
          <w:bCs/>
          <w:sz w:val="32"/>
          <w:szCs w:val="32"/>
        </w:rPr>
      </w:pPr>
      <w:r>
        <w:rPr>
          <w:rFonts w:ascii="仿宋_GB2312" w:eastAsia="方正仿宋_GBK" w:cs="仿宋_GB2312" w:hAnsi="仿宋_GB2312"/>
          <w:b/>
          <w:bCs/>
          <w:sz w:val="32"/>
          <w:szCs w:val="32"/>
        </w:rPr>
        <w:t>汉语言文学、汉语言、中国少数民族语言文学、</w:t>
      </w:r>
      <w:r>
        <w:rPr>
          <w:rFonts w:ascii="仿宋_GB2312" w:eastAsia="方正仿宋_GBK" w:cs="仿宋_GB2312" w:hAnsi="仿宋_GB2312" w:hint="eastAsia"/>
          <w:b/>
          <w:bCs/>
          <w:sz w:val="32"/>
          <w:szCs w:val="32"/>
        </w:rPr>
        <w:t>中国</w:t>
      </w:r>
      <w:r>
        <w:rPr>
          <w:rFonts w:ascii="仿宋_GB2312" w:eastAsia="方正仿宋_GBK" w:cs="仿宋_GB2312" w:hAnsi="仿宋_GB2312"/>
          <w:b/>
          <w:bCs/>
          <w:sz w:val="32"/>
          <w:szCs w:val="32"/>
        </w:rPr>
        <w:t>古典文献学、应用语言学、秘</w:t>
      </w:r>
      <w:r>
        <w:rPr>
          <w:rFonts w:ascii="仿宋_GB2312" w:eastAsia="方正仿宋_GBK" w:cs="仿宋_GB2312" w:hAnsi="仿宋_GB2312"/>
          <w:b/>
          <w:bCs/>
          <w:sz w:val="32"/>
          <w:szCs w:val="32"/>
        </w:rPr>
        <w:fldChar w:fldCharType="begin"/>
      </w:r>
      <w:r>
        <w:instrText>HYPERLINK "https://www.dxsbb.com/news/list_79.html"</w:instrText>
      </w:r>
      <w:r>
        <w:rPr>
          <w:rFonts w:ascii="仿宋_GB2312" w:eastAsia="方正仿宋_GBK" w:cs="仿宋_GB2312" w:hAnsi="仿宋_GB2312"/>
          <w:b/>
          <w:bCs/>
          <w:sz w:val="32"/>
          <w:szCs w:val="32"/>
        </w:rPr>
        <w:fldChar w:fldCharType="separate"/>
      </w:r>
      <w:r>
        <w:rPr>
          <w:rFonts w:ascii="仿宋_GB2312" w:eastAsia="方正仿宋_GBK" w:cs="仿宋_GB2312" w:hAnsi="仿宋_GB2312"/>
          <w:b/>
          <w:bCs/>
          <w:sz w:val="32"/>
          <w:szCs w:val="32"/>
        </w:rPr>
        <w:t>书</w:t>
      </w:r>
      <w:r>
        <w:rPr>
          <w:rFonts w:ascii="仿宋_GB2312" w:eastAsia="方正仿宋_GBK" w:cs="仿宋_GB2312" w:hAnsi="仿宋_GB2312"/>
          <w:b/>
          <w:bCs/>
          <w:sz w:val="32"/>
          <w:szCs w:val="32"/>
        </w:rPr>
        <w:fldChar w:fldCharType="end"/>
      </w:r>
      <w:r>
        <w:rPr>
          <w:rFonts w:ascii="仿宋_GB2312" w:eastAsia="方正仿宋_GBK" w:cs="仿宋_GB2312" w:hAnsi="仿宋_GB2312"/>
          <w:b/>
          <w:bCs/>
          <w:sz w:val="32"/>
          <w:szCs w:val="32"/>
        </w:rPr>
        <w:t>学、中国语言与文化、比较文学与世界文学、古典学、</w:t>
      </w:r>
      <w:r>
        <w:rPr>
          <w:rFonts w:ascii="仿宋_GB2312" w:eastAsia="方正仿宋_GBK" w:cs="仿宋_GB2312" w:hAnsi="仿宋_GB2312" w:hint="eastAsia"/>
          <w:b/>
          <w:bCs/>
          <w:sz w:val="32"/>
          <w:szCs w:val="32"/>
          <w:lang w:val="en-US" w:eastAsia="zh-CN"/>
        </w:rPr>
        <w:t>中国古典学、</w:t>
      </w:r>
      <w:r>
        <w:rPr>
          <w:rFonts w:ascii="仿宋_GB2312" w:eastAsia="方正仿宋_GBK" w:cs="仿宋_GB2312" w:hAnsi="仿宋_GB2312"/>
          <w:b/>
          <w:bCs/>
          <w:sz w:val="32"/>
          <w:szCs w:val="32"/>
        </w:rPr>
        <w:t>汉语国际传播、</w:t>
      </w:r>
      <w:r>
        <w:rPr>
          <w:rFonts w:ascii="仿宋_GB2312" w:eastAsia="方正仿宋_GBK" w:cs="仿宋_GB2312" w:hAnsi="仿宋_GB2312" w:hint="eastAsia"/>
          <w:b/>
          <w:bCs/>
          <w:sz w:val="32"/>
          <w:szCs w:val="32"/>
          <w:lang w:eastAsia="zh-CN"/>
        </w:rPr>
        <w:t>汉语国际教育、国际中文教育、</w:t>
      </w:r>
      <w:r>
        <w:rPr>
          <w:rFonts w:ascii="仿宋_GB2312" w:eastAsia="方正仿宋_GBK" w:cs="仿宋_GB2312" w:hAnsi="仿宋_GB2312"/>
          <w:b/>
          <w:bCs/>
          <w:sz w:val="32"/>
          <w:szCs w:val="32"/>
        </w:rPr>
        <w:t>汉语言文字学、媒体语言学、语言学及应用语言学、中国古代文学、中国现当代文学、中国语言文学、文秘</w:t>
      </w:r>
      <w:r>
        <w:rPr>
          <w:rFonts w:ascii="仿宋_GB2312" w:eastAsia="方正仿宋_GBK" w:cs="仿宋_GB2312" w:hAnsi="仿宋_GB2312" w:hint="eastAsia"/>
          <w:b/>
          <w:bCs/>
          <w:sz w:val="32"/>
          <w:szCs w:val="32"/>
        </w:rPr>
        <w:t>、现代汉语语言学、写作学、写作理论与实践、文艺学、高级秘书与行政助理学</w:t>
      </w:r>
      <w:r>
        <w:rPr>
          <w:rFonts w:ascii="仿宋_GB2312" w:eastAsia="方正仿宋_GBK" w:cs="仿宋_GB2312" w:hAnsi="仿宋_GB2312" w:hint="eastAsia"/>
          <w:b/>
          <w:bCs/>
          <w:sz w:val="32"/>
          <w:szCs w:val="32"/>
          <w:lang w:eastAsia="zh-CN"/>
        </w:rPr>
        <w:t>、</w:t>
      </w:r>
      <w:r>
        <w:rPr>
          <w:rFonts w:ascii="仿宋_GB2312" w:eastAsia="方正仿宋_GBK" w:cs="仿宋_GB2312" w:hAnsi="仿宋_GB2312"/>
          <w:b/>
          <w:bCs/>
          <w:sz w:val="32"/>
          <w:szCs w:val="32"/>
        </w:rPr>
        <w:t>历史学、世界史、中国古代史、中国现代史</w:t>
      </w:r>
      <w:r>
        <w:rPr>
          <w:rFonts w:ascii="仿宋_GB2312" w:eastAsia="方正仿宋_GBK" w:cs="仿宋_GB2312" w:hAnsi="仿宋_GB2312" w:hint="eastAsia"/>
          <w:b/>
          <w:bCs/>
          <w:sz w:val="32"/>
          <w:szCs w:val="32"/>
          <w:lang w:eastAsia="zh-CN"/>
        </w:rPr>
        <w:t>、</w:t>
      </w:r>
      <w:r>
        <w:rPr>
          <w:rFonts w:ascii="仿宋_GB2312" w:eastAsia="方正仿宋_GBK" w:cs="仿宋_GB2312" w:hAnsi="仿宋_GB2312"/>
          <w:b/>
          <w:bCs/>
          <w:sz w:val="32"/>
          <w:szCs w:val="32"/>
        </w:rPr>
        <w:t>哲学、逻辑学、马克思主义哲学、中国哲学</w:t>
      </w:r>
      <w:r>
        <w:rPr>
          <w:rFonts w:ascii="仿宋_GB2312" w:eastAsia="方正仿宋_GBK" w:cs="仿宋_GB2312" w:hAnsi="仿宋_GB2312" w:hint="eastAsia"/>
          <w:b/>
          <w:bCs/>
          <w:sz w:val="32"/>
          <w:szCs w:val="32"/>
        </w:rPr>
        <w:t>、政治哲学</w:t>
      </w:r>
      <w:r>
        <w:rPr>
          <w:rFonts w:ascii="仿宋_GB2312" w:eastAsia="方正仿宋_GBK" w:cs="仿宋_GB2312" w:hAnsi="仿宋_GB2312"/>
          <w:b/>
          <w:bCs/>
          <w:sz w:val="32"/>
          <w:szCs w:val="32"/>
        </w:rPr>
        <w:t>、外国哲学</w:t>
      </w:r>
    </w:p>
    <w:p>
      <w:pPr>
        <w:spacing w:line="640" w:lineRule="exact"/>
        <w:ind w:firstLineChars="200" w:firstLine="640"/>
        <w:rPr>
          <w:rFonts w:ascii="方正黑体_GBK" w:eastAsia="方正黑体_GBK" w:cs="仿宋_GB2312" w:hint="eastAsia"/>
          <w:b/>
          <w:bCs/>
          <w:sz w:val="32"/>
          <w:szCs w:val="32"/>
        </w:rPr>
      </w:pPr>
      <w:r>
        <w:rPr>
          <w:rFonts w:ascii="方正黑体_GBK" w:eastAsia="方正黑体_GBK" w:cs="仿宋_GB2312" w:hint="eastAsia"/>
          <w:b/>
          <w:bCs/>
          <w:sz w:val="32"/>
          <w:szCs w:val="32"/>
        </w:rPr>
        <w:t>五、计算机科学与技术类</w:t>
      </w:r>
    </w:p>
    <w:p>
      <w:pPr>
        <w:spacing w:line="640" w:lineRule="exact"/>
        <w:ind w:firstLineChars="200" w:firstLine="640"/>
        <w:rPr>
          <w:rFonts w:ascii="仿宋_GB2312" w:eastAsia="方正仿宋_GBK" w:cs="仿宋_GB2312" w:hAnsi="仿宋_GB2312"/>
          <w:b/>
          <w:bCs/>
          <w:sz w:val="33"/>
          <w:szCs w:val="33"/>
        </w:rPr>
      </w:pPr>
      <w:r>
        <w:rPr>
          <w:rFonts w:ascii="仿宋_GB2312" w:eastAsia="方正仿宋_GBK" w:cs="仿宋_GB2312" w:hAnsi="仿宋_GB2312"/>
          <w:b/>
          <w:bCs/>
          <w:sz w:val="32"/>
          <w:szCs w:val="32"/>
        </w:rPr>
        <w:t>计算机科学技术、计算机科学与技术、计算机系统结构、计算机软件与理论、计算机应用、计算机应用技术、计算机网络技术、计算机网络工程、计算机网络、计算机与信息管理、计算机技术、计算机系统维护、计算机数据库、计算机控制技术、计算机管理、计算机控制、网络信息安全、信息安全、网络工程、信息安全工程、网络安全技术与工程、保密科学与技术、大数据科学与工程、数据科学、数据科学和信息技术、数字媒体技术、物联网工程、物联网工程与技术、物联网技术、软件工程、智能科学与技术、空间信息与数字技术、电子与计算机工程、数据科学与大数据技术、网络空间安全、新媒体技术、保密技术、密码科学与技术、网络技术、数据库技术、数据库、科技防卫、信息管理与信息系统、信息管理与服务、软件与信息服务、大数据技术、大数据技术应用、信息安全技术应用、应用软件工程、智能科学与技术</w:t>
      </w:r>
      <w:r>
        <w:rPr>
          <w:rFonts w:ascii="仿宋_GB2312" w:eastAsia="方正仿宋_GBK" w:cs="仿宋_GB2312" w:hAnsi="仿宋_GB2312" w:hint="eastAsia"/>
          <w:b/>
          <w:bCs/>
          <w:sz w:val="32"/>
          <w:szCs w:val="32"/>
        </w:rPr>
        <w:t>、通信工程</w:t>
      </w:r>
      <w:bookmarkStart w:id="0" w:name="_GoBack"/>
      <w:bookmarkEnd w:id="0"/>
    </w:p>
    <w:p>
      <w:pPr>
        <w:spacing w:line="640" w:lineRule="exact"/>
        <w:ind w:firstLineChars="200" w:firstLine="640"/>
        <w:rPr>
          <w:rFonts w:ascii="方正黑体_GBK" w:eastAsia="方正黑体_GBK" w:cs="仿宋_GB2312" w:hint="eastAsia"/>
          <w:b/>
          <w:bCs/>
          <w:sz w:val="32"/>
          <w:szCs w:val="32"/>
          <w:lang w:val="en-US" w:eastAsia="zh-CN"/>
        </w:rPr>
      </w:pPr>
      <w:r>
        <w:rPr>
          <w:rFonts w:ascii="方正黑体_GBK" w:eastAsia="方正黑体_GBK" w:cs="仿宋_GB2312" w:hint="eastAsia"/>
          <w:b/>
          <w:bCs/>
          <w:sz w:val="32"/>
          <w:szCs w:val="32"/>
          <w:lang w:val="en-US" w:eastAsia="zh-CN"/>
        </w:rPr>
        <w:t>六、财务类</w:t>
      </w:r>
    </w:p>
    <w:p>
      <w:pPr>
        <w:spacing w:line="640" w:lineRule="exact"/>
        <w:ind w:firstLineChars="200" w:firstLine="640"/>
        <w:rPr>
          <w:rFonts w:ascii="仿宋_GB2312" w:eastAsia="方正仿宋_GBK" w:cs="仿宋_GB2312" w:hAnsi="仿宋_GB2312" w:hint="eastAsia"/>
          <w:b/>
          <w:bCs/>
          <w:sz w:val="32"/>
          <w:szCs w:val="32"/>
          <w:lang w:val="en-US" w:eastAsia="zh-CN"/>
        </w:rPr>
      </w:pPr>
      <w:r>
        <w:rPr>
          <w:rFonts w:ascii="仿宋_GB2312" w:eastAsia="方正仿宋_GBK" w:cs="仿宋_GB2312" w:hAnsi="仿宋_GB2312" w:hint="eastAsia"/>
          <w:b/>
          <w:bCs/>
          <w:sz w:val="32"/>
          <w:szCs w:val="32"/>
          <w:lang w:val="en-US" w:eastAsia="zh-CN"/>
        </w:rPr>
        <w:t>财务管理、审计、审计学、会计、会计学、审计实务、财务会计、财务学、财政学、统计学、应用统计、应用统计学、经济统计学、会计与审计、财政学、税收学、税务与会计、财务会计教育、会计电算化、财务电算化、会计与统计核算、财务信息管理、财会、会计信息化、审计理论研究、内部控制与内部审计、独立审计与实务、会计硕士、国民经济管理、税务、资产评估</w:t>
      </w:r>
    </w:p>
    <w:p>
      <w:pPr>
        <w:rPr>
          <w:b/>
          <w:bCs/>
        </w:rPr>
      </w:pPr>
    </w:p>
    <w:sectPr>
      <w:footerReference w:type="default" r:id="rId2"/>
      <w:footerReference w:type="even" r:id="rId3"/>
      <w:footerReference w:type="first" r:id="rId4"/>
      <w:pgSz w:w="11907" w:h="16840"/>
      <w:pgMar w:top="2098" w:right="1531" w:bottom="1985" w:left="1531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  <w:rPr>
        <w:rFonts w:ascii="Times New Roman" w:hAnsi="Times New Roman"/>
        <w:b/>
        <w:bCs/>
        <w:sz w:val="28"/>
        <w:szCs w:val="28"/>
      </w:rPr>
    </w:pPr>
    <w:r>
      <w:rPr>
        <w:rStyle w:val="18"/>
        <w:rFonts w:ascii="Times New Roman" w:hAnsi="Times New Roman"/>
        <w:b/>
        <w:bCs/>
        <w:sz w:val="28"/>
        <w:szCs w:val="28"/>
      </w:rPr>
      <w:fldChar w:fldCharType="begin"/>
    </w:r>
    <w:r>
      <w:rPr>
        <w:rStyle w:val="18"/>
        <w:rFonts w:ascii="Times New Roman" w:hAnsi="Times New Roman"/>
        <w:b/>
        <w:bCs/>
        <w:sz w:val="28"/>
        <w:szCs w:val="28"/>
      </w:rPr>
      <w:instrText>Page</w:instrText>
    </w:r>
    <w:r>
      <w:rPr>
        <w:rStyle w:val="18"/>
        <w:rFonts w:ascii="Times New Roman" w:hAnsi="Times New Roman"/>
        <w:b/>
        <w:bCs/>
        <w:sz w:val="28"/>
        <w:szCs w:val="28"/>
      </w:rPr>
      <w:fldChar w:fldCharType="separate"/>
    </w:r>
    <w:r>
      <w:rPr>
        <w:rStyle w:val="18"/>
        <w:rFonts w:ascii="Times New Roman" w:hAnsi="Times New Roman"/>
        <w:b/>
        <w:bCs/>
        <w:sz w:val="28"/>
        <w:szCs w:val="28"/>
      </w:rPr>
      <w:t>— 1 —</w:t>
    </w:r>
    <w:r>
      <w:rPr>
        <w:rStyle w:val="18"/>
        <w:rFonts w:ascii="Times New Roman" w:hAnsi="Times New Roman"/>
        <w:b/>
        <w:bCs/>
        <w:sz w:val="28"/>
        <w:szCs w:val="28"/>
      </w:rPr>
      <w:fldChar w:fldCharType="end"/>
    </w:r>
  </w:p>
  <w:p>
    <w:pPr>
      <w:pStyle w:val="17"/>
      <w:tabs>
        <w:tab w:val="center" w:pos="4153"/>
        <w:tab w:val="right" w:pos="8307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— 1 —</w:t>
    </w:r>
    <w:r>
      <w:rPr>
        <w:rStyle w:val="18"/>
      </w:rPr>
      <w:fldChar w:fldCharType="end"/>
    </w:r>
  </w:p>
  <w:p>
    <w:pPr>
      <w:pStyle w:val="17"/>
      <w:tabs>
        <w:tab w:val="center" w:pos="4153"/>
        <w:tab w:val="right" w:pos="8307"/>
      </w:tabs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— 1 —</w:t>
    </w:r>
    <w:r>
      <w:rPr>
        <w:rStyle w:val="18"/>
      </w:rPr>
      <w:fldChar w:fldCharType="end"/>
    </w:r>
  </w:p>
  <w:p>
    <w:pPr>
      <w:pStyle w:val="17"/>
      <w:tabs>
        <w:tab w:val="center" w:pos="4153"/>
        <w:tab w:val="right" w:pos="8307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65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uppressAutoHyphens/>
      <w:bidi w:val="0"/>
      <w:jc w:val="both"/>
    </w:pPr>
    <w:rPr>
      <w:rFonts w:ascii="Calibri" w:eastAsia="宋体" w:cs="Times New Roman" w:hAnsi="Calibri"/>
      <w:color w:val="auto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uppressAutoHyphen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uppressAutoHyphen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uppressAutoHyphen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character" w:styleId="15">
    <w:name w:val="Hyperlink"/>
    <w:basedOn w:val="10"/>
    <w:rPr>
      <w:color w:val="0000FF"/>
      <w:u w:val="single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character" w:styleId="18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/>
    <sectPr pgNumType="\* ArabicDash2"/>
  </customProps>
</customData>
</file>

<file path=customXml/itemProps1.xml><?xml version="1.0" encoding="utf-8"?>
<ds:datastoreItem xmlns:ds="http://schemas.openxmlformats.org/officeDocument/2006/customXml" ds:itemID="{97490A06-0B24-4C3D-90E1-9B1DC9A0E7E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5</TotalTime>
  <Application>Yozo_Office27021597764231179</Application>
  <Pages>4</Pages>
  <Words>1639</Words>
  <Characters>1639</Characters>
  <Lines>68</Lines>
  <Paragraphs>13</Paragraphs>
  <CharactersWithSpaces>1639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2024-10-18T09:30:42Z</dcterms:created>
  <dcterms:modified xsi:type="dcterms:W3CDTF">2024-10-24T10:05:18Z</dcterms:modified>
</cp:coreProperties>
</file>